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5E" w:rsidRDefault="00DA173D" w:rsidP="00DA173D">
      <w:pPr>
        <w:pStyle w:val="Nadpis1"/>
      </w:pPr>
      <w:r>
        <w:t>Alpy</w:t>
      </w:r>
    </w:p>
    <w:p w:rsidR="00DA173D" w:rsidRDefault="00DA173D" w:rsidP="00DA173D">
      <w:r>
        <w:t xml:space="preserve">Alpy (německy </w:t>
      </w:r>
      <w:proofErr w:type="spellStart"/>
      <w:r>
        <w:t>Alpen</w:t>
      </w:r>
      <w:proofErr w:type="spellEnd"/>
      <w:r>
        <w:t xml:space="preserve">, francouzsky </w:t>
      </w:r>
      <w:proofErr w:type="spellStart"/>
      <w:r>
        <w:t>Alpes</w:t>
      </w:r>
      <w:proofErr w:type="spellEnd"/>
      <w:r>
        <w:t xml:space="preserve">, rétorománsky </w:t>
      </w:r>
      <w:proofErr w:type="spellStart"/>
      <w:r>
        <w:t>Alps</w:t>
      </w:r>
      <w:proofErr w:type="spellEnd"/>
      <w:r>
        <w:t xml:space="preserve">, italsky </w:t>
      </w:r>
      <w:proofErr w:type="spellStart"/>
      <w:r>
        <w:t>Alpi</w:t>
      </w:r>
      <w:proofErr w:type="spellEnd"/>
      <w:r>
        <w:t xml:space="preserve">, slovinsky </w:t>
      </w:r>
      <w:proofErr w:type="spellStart"/>
      <w:r>
        <w:t>Alpe</w:t>
      </w:r>
      <w:proofErr w:type="spellEnd"/>
      <w:r>
        <w:t>) jsou rozsáhlé evropské pohoří. Název „Alpy“ resp. francouzský a latinský název „</w:t>
      </w:r>
      <w:proofErr w:type="spellStart"/>
      <w:r>
        <w:t>Alpes</w:t>
      </w:r>
      <w:proofErr w:type="spellEnd"/>
      <w:r>
        <w:t xml:space="preserve">“ pravděpodobně pochází z latinského </w:t>
      </w:r>
      <w:proofErr w:type="spellStart"/>
      <w:r>
        <w:t>albus</w:t>
      </w:r>
      <w:proofErr w:type="spellEnd"/>
      <w:r>
        <w:t xml:space="preserve"> (bílý) nebo </w:t>
      </w:r>
      <w:proofErr w:type="spellStart"/>
      <w:r>
        <w:t>altus</w:t>
      </w:r>
      <w:proofErr w:type="spellEnd"/>
      <w:r>
        <w:t xml:space="preserve"> (vysoký). Dalším možným vysvětlením je keltský výraz „alp“, který označuje vysoké pohoří.</w:t>
      </w:r>
    </w:p>
    <w:p w:rsidR="00DA173D" w:rsidRDefault="00DA173D" w:rsidP="00DA173D">
      <w:pPr>
        <w:pStyle w:val="Nadpis2"/>
      </w:pPr>
      <w:r>
        <w:t>Geologie</w:t>
      </w:r>
    </w:p>
    <w:p w:rsidR="00DA173D" w:rsidRDefault="00DA173D" w:rsidP="00DA173D">
      <w:pPr>
        <w:pStyle w:val="Nadpis3"/>
      </w:pPr>
      <w:r>
        <w:t>Vznik</w:t>
      </w:r>
    </w:p>
    <w:p w:rsidR="00DA173D" w:rsidRDefault="00DA173D" w:rsidP="00DA173D">
      <w:r>
        <w:t xml:space="preserve">Počátek vzniku se datuje do doby kolem spodní křídy, kdy se na dno </w:t>
      </w:r>
      <w:proofErr w:type="gramStart"/>
      <w:r>
        <w:t>geosynklinály, neboli</w:t>
      </w:r>
      <w:proofErr w:type="gramEnd"/>
      <w:r>
        <w:t xml:space="preserve"> mořské rozsedliny v oceánu </w:t>
      </w:r>
      <w:proofErr w:type="spellStart"/>
      <w:r>
        <w:t>Tethys</w:t>
      </w:r>
      <w:proofErr w:type="spellEnd"/>
      <w:r>
        <w:t xml:space="preserve"> usazovaly sedimenty. Ve třetihorách, asi před 40 až 60 miliony let vlivem natlačování Africké desky na Eurasijskou se začaly vrstvy usazenin vrásnit, tzv. alpínská orogeneze. Výrazné vyzdvihování probíhalo na přelomu třetihor a čtvrtohor. Dalším faktorem modelování pohoří bylo </w:t>
      </w:r>
      <w:proofErr w:type="spellStart"/>
      <w:r>
        <w:t>pleistocénní</w:t>
      </w:r>
      <w:proofErr w:type="spellEnd"/>
      <w:r>
        <w:t xml:space="preserve"> zalednění, po němž nám zbylo pouze něco kolem 3 000 km² ledovců, četné kary a jezera (největší Bodamské).</w:t>
      </w:r>
    </w:p>
    <w:p w:rsidR="00DA173D" w:rsidRDefault="00DA173D" w:rsidP="00DA173D">
      <w:pPr>
        <w:pStyle w:val="Nadpis3"/>
      </w:pPr>
      <w:r>
        <w:t>Slož</w:t>
      </w:r>
      <w:r w:rsidRPr="00DA173D">
        <w:rPr>
          <w:rStyle w:val="Nadpis3Char"/>
        </w:rPr>
        <w:t>e</w:t>
      </w:r>
      <w:r>
        <w:t>ní</w:t>
      </w:r>
    </w:p>
    <w:p w:rsidR="00DA173D" w:rsidRDefault="00DA173D" w:rsidP="00DA173D">
      <w:r>
        <w:t>Alpy jsou složitý příkrovový horský systém. Ze severního a severozápadního směru byly kdysi nasunuty hlavní, největší příkrovy. Z hlediska geologické stavby můžeme Východní Alpy rozdělit na Centrální krystalické Alpy (rula, svor a břidlice), Severní vápencové Alpy (vápenec, dolomit) a Jižní vápencové Alpy. Ve vápencových Alpách převládají horniny zejména z období triasu, jury a křídy (usazené horniny z druhohor). Na severozápadním okraji Západních Alp (Vnější krystalické Alpy) se také vyskytují pásma vápenců. Krystalické Alpy se dělí na Vnější (hercynské krystalické masívy a Vnitřní (pevninské příkrovy a metamorfované horniny). Centrální masívy tvoří jádro (žuly, ruly a krystalické břidlice), které je zbytky starších hor z karbonu.</w:t>
      </w:r>
    </w:p>
    <w:p w:rsidR="00DA173D" w:rsidRDefault="00DA173D" w:rsidP="00DA173D">
      <w:pPr>
        <w:pStyle w:val="Nadpis2"/>
      </w:pPr>
      <w:r w:rsidRPr="00DA173D">
        <w:t>Vodstvo a zalednění</w:t>
      </w:r>
    </w:p>
    <w:p w:rsidR="00DA173D" w:rsidRDefault="00DA173D" w:rsidP="00DA173D">
      <w:pPr>
        <w:pStyle w:val="Nadpis3"/>
      </w:pPr>
      <w:r w:rsidRPr="00DA173D">
        <w:t>Řeky</w:t>
      </w:r>
    </w:p>
    <w:p w:rsidR="00DA173D" w:rsidRDefault="00DA173D" w:rsidP="00DA173D">
      <w:r w:rsidRPr="00DA173D">
        <w:t>Alpy jsou nejvýznamnější pramennou oblastí ve střední Evropě. Na mnoha jejich vrcholech či hřebenech probíhají i mnohá evropská rozvodí (</w:t>
      </w:r>
      <w:proofErr w:type="spellStart"/>
      <w:r w:rsidRPr="00DA173D">
        <w:t>Albula</w:t>
      </w:r>
      <w:proofErr w:type="spellEnd"/>
      <w:r w:rsidRPr="00DA173D">
        <w:t xml:space="preserve">, St. </w:t>
      </w:r>
      <w:proofErr w:type="spellStart"/>
      <w:r w:rsidRPr="00DA173D">
        <w:t>Gotthardpass</w:t>
      </w:r>
      <w:proofErr w:type="spellEnd"/>
      <w:r w:rsidRPr="00DA173D">
        <w:t xml:space="preserve">). Alpské řeky nebo povodí se po dlouhé cestě vlévají do moří (Středozemní moře, Jaderské moře, Černé moře, </w:t>
      </w:r>
      <w:r w:rsidRPr="00DA173D">
        <w:lastRenderedPageBreak/>
        <w:t>Severní moře. V masivu Gotthard ve Švýcarsku se dokonce rozcházejí řeky do tří moří (</w:t>
      </w:r>
      <w:proofErr w:type="spellStart"/>
      <w:r w:rsidRPr="00DA173D">
        <w:t>Rhóna</w:t>
      </w:r>
      <w:proofErr w:type="spellEnd"/>
      <w:r w:rsidRPr="00DA173D">
        <w:t xml:space="preserve">, Rýn, Ticino). Podobně je tomu v pohoří </w:t>
      </w:r>
      <w:proofErr w:type="spellStart"/>
      <w:r w:rsidRPr="00DA173D">
        <w:t>Albula</w:t>
      </w:r>
      <w:proofErr w:type="spellEnd"/>
      <w:r w:rsidRPr="00DA173D">
        <w:t xml:space="preserve"> poblíž Svatého Mořice (Inn, Rýn a Pád). Ve Východních Alpách tvoří toky povětšinou dlouhá údolí, rovnoběžná s hřebeny hor (Dráva, Inn, </w:t>
      </w:r>
      <w:proofErr w:type="spellStart"/>
      <w:r w:rsidRPr="00DA173D">
        <w:t>Enns</w:t>
      </w:r>
      <w:proofErr w:type="spellEnd"/>
      <w:r w:rsidRPr="00DA173D">
        <w:t>). Západní Alpy jsou na tom naopak, toky zde vytvářejí kratší a příkřejší údolí, většinou s velkým převýšením (</w:t>
      </w:r>
      <w:proofErr w:type="spellStart"/>
      <w:r w:rsidRPr="00DA173D">
        <w:t>Aara</w:t>
      </w:r>
      <w:proofErr w:type="spellEnd"/>
      <w:r w:rsidRPr="00DA173D">
        <w:t xml:space="preserve">, Rýn, </w:t>
      </w:r>
      <w:proofErr w:type="spellStart"/>
      <w:r w:rsidRPr="00DA173D">
        <w:t>Rhóna</w:t>
      </w:r>
      <w:proofErr w:type="spellEnd"/>
      <w:r w:rsidRPr="00DA173D">
        <w:t xml:space="preserve">). Často jsou tyto doliny směrově napříč horskými masivy. Zde vznikly na mnoha místech vodopády (např. </w:t>
      </w:r>
      <w:proofErr w:type="spellStart"/>
      <w:r w:rsidRPr="00DA173D">
        <w:t>Krimmelské</w:t>
      </w:r>
      <w:proofErr w:type="spellEnd"/>
      <w:r w:rsidRPr="00DA173D">
        <w:t xml:space="preserve"> vodopády). Řeky v Alpách jsou z velké většiny napájeny z </w:t>
      </w:r>
      <w:proofErr w:type="gramStart"/>
      <w:r w:rsidRPr="00DA173D">
        <w:t>ledovců a proto</w:t>
      </w:r>
      <w:proofErr w:type="gramEnd"/>
      <w:r w:rsidRPr="00DA173D">
        <w:t xml:space="preserve"> jsou v létě bohaté na vodu.</w:t>
      </w:r>
    </w:p>
    <w:p w:rsidR="00DA173D" w:rsidRDefault="00DA173D" w:rsidP="00DA173D">
      <w:pPr>
        <w:pStyle w:val="Normlnweb"/>
      </w:pPr>
      <w:r>
        <w:t xml:space="preserve">K nejvýznamnějším alpským </w:t>
      </w:r>
      <w:r>
        <w:rPr>
          <w:b/>
          <w:bCs/>
        </w:rPr>
        <w:t>tokům</w:t>
      </w:r>
      <w:r>
        <w:t xml:space="preserve"> náleží:</w:t>
      </w:r>
    </w:p>
    <w:p w:rsidR="00DA173D" w:rsidRDefault="00DA173D" w:rsidP="00DA173D">
      <w:r>
        <w:t xml:space="preserve">název </w:t>
      </w:r>
      <w:r>
        <w:tab/>
        <w:t>délka (km)</w:t>
      </w:r>
    </w:p>
    <w:p w:rsidR="00DA173D" w:rsidRDefault="00DA173D" w:rsidP="00C6638A">
      <w:pPr>
        <w:pStyle w:val="Odstavecseseznamem"/>
        <w:numPr>
          <w:ilvl w:val="0"/>
          <w:numId w:val="1"/>
        </w:numPr>
        <w:tabs>
          <w:tab w:val="left" w:pos="1701"/>
        </w:tabs>
        <w:spacing w:line="240" w:lineRule="auto"/>
      </w:pPr>
      <w:r>
        <w:t xml:space="preserve">Rýn </w:t>
      </w:r>
      <w:r>
        <w:tab/>
        <w:t>1 360</w:t>
      </w:r>
    </w:p>
    <w:p w:rsidR="00DA173D" w:rsidRDefault="00DA173D" w:rsidP="00C6638A">
      <w:pPr>
        <w:pStyle w:val="Odstavecseseznamem"/>
        <w:numPr>
          <w:ilvl w:val="0"/>
          <w:numId w:val="1"/>
        </w:numPr>
        <w:tabs>
          <w:tab w:val="left" w:pos="1701"/>
        </w:tabs>
        <w:spacing w:line="240" w:lineRule="auto"/>
      </w:pPr>
      <w:r>
        <w:t xml:space="preserve">Sáva </w:t>
      </w:r>
      <w:r>
        <w:tab/>
        <w:t>946</w:t>
      </w:r>
    </w:p>
    <w:p w:rsidR="00DA173D" w:rsidRDefault="00DA173D" w:rsidP="00C6638A">
      <w:pPr>
        <w:pStyle w:val="Odstavecseseznamem"/>
        <w:numPr>
          <w:ilvl w:val="0"/>
          <w:numId w:val="1"/>
        </w:numPr>
        <w:tabs>
          <w:tab w:val="left" w:pos="1701"/>
        </w:tabs>
        <w:spacing w:line="240" w:lineRule="auto"/>
      </w:pPr>
      <w:r>
        <w:t xml:space="preserve">Rhôna </w:t>
      </w:r>
      <w:r>
        <w:tab/>
        <w:t>812</w:t>
      </w:r>
    </w:p>
    <w:p w:rsidR="00DA173D" w:rsidRDefault="00DA173D" w:rsidP="00C6638A">
      <w:pPr>
        <w:pStyle w:val="Odstavecseseznamem"/>
        <w:numPr>
          <w:ilvl w:val="0"/>
          <w:numId w:val="1"/>
        </w:numPr>
        <w:tabs>
          <w:tab w:val="left" w:pos="1701"/>
        </w:tabs>
        <w:spacing w:line="240" w:lineRule="auto"/>
      </w:pPr>
      <w:r>
        <w:t xml:space="preserve">Dráva </w:t>
      </w:r>
      <w:r>
        <w:tab/>
        <w:t>720</w:t>
      </w:r>
    </w:p>
    <w:p w:rsidR="00DA173D" w:rsidRDefault="00DA173D" w:rsidP="00C6638A">
      <w:pPr>
        <w:pStyle w:val="Odstavecseseznamem"/>
        <w:numPr>
          <w:ilvl w:val="0"/>
          <w:numId w:val="1"/>
        </w:numPr>
        <w:tabs>
          <w:tab w:val="left" w:pos="1701"/>
        </w:tabs>
        <w:spacing w:line="240" w:lineRule="auto"/>
      </w:pPr>
      <w:r>
        <w:t xml:space="preserve">Pád </w:t>
      </w:r>
      <w:r>
        <w:tab/>
        <w:t>652</w:t>
      </w:r>
    </w:p>
    <w:p w:rsidR="00DA173D" w:rsidRDefault="00DA173D" w:rsidP="00C6638A">
      <w:pPr>
        <w:pStyle w:val="Odstavecseseznamem"/>
        <w:numPr>
          <w:ilvl w:val="0"/>
          <w:numId w:val="1"/>
        </w:numPr>
        <w:tabs>
          <w:tab w:val="left" w:pos="1701"/>
        </w:tabs>
        <w:spacing w:line="240" w:lineRule="auto"/>
      </w:pPr>
      <w:r>
        <w:t xml:space="preserve">Inn </w:t>
      </w:r>
      <w:r>
        <w:tab/>
        <w:t>510</w:t>
      </w:r>
    </w:p>
    <w:p w:rsidR="00DA173D" w:rsidRDefault="00DA173D" w:rsidP="00C6638A">
      <w:pPr>
        <w:pStyle w:val="Odstavecseseznamem"/>
        <w:numPr>
          <w:ilvl w:val="0"/>
          <w:numId w:val="1"/>
        </w:numPr>
        <w:tabs>
          <w:tab w:val="left" w:pos="1701"/>
        </w:tabs>
        <w:spacing w:line="240" w:lineRule="auto"/>
      </w:pPr>
      <w:r>
        <w:t xml:space="preserve">Mura </w:t>
      </w:r>
      <w:r>
        <w:tab/>
        <w:t>445</w:t>
      </w:r>
    </w:p>
    <w:p w:rsidR="00DA173D" w:rsidRDefault="00DA173D" w:rsidP="00C6638A">
      <w:pPr>
        <w:pStyle w:val="Odstavecseseznamem"/>
        <w:numPr>
          <w:ilvl w:val="0"/>
          <w:numId w:val="1"/>
        </w:numPr>
        <w:tabs>
          <w:tab w:val="left" w:pos="1701"/>
        </w:tabs>
        <w:spacing w:line="240" w:lineRule="auto"/>
      </w:pPr>
      <w:r>
        <w:t xml:space="preserve">Adiže </w:t>
      </w:r>
      <w:r>
        <w:tab/>
        <w:t>410</w:t>
      </w:r>
    </w:p>
    <w:p w:rsidR="00DA173D" w:rsidRDefault="00DA173D" w:rsidP="00C6638A">
      <w:pPr>
        <w:pStyle w:val="Odstavecseseznamem"/>
        <w:numPr>
          <w:ilvl w:val="0"/>
          <w:numId w:val="1"/>
        </w:numPr>
        <w:tabs>
          <w:tab w:val="left" w:pos="1701"/>
        </w:tabs>
        <w:spacing w:line="240" w:lineRule="auto"/>
      </w:pPr>
      <w:r>
        <w:t xml:space="preserve">Durance </w:t>
      </w:r>
      <w:r>
        <w:tab/>
        <w:t>305</w:t>
      </w:r>
    </w:p>
    <w:p w:rsidR="00DA173D" w:rsidRDefault="00DA173D" w:rsidP="00C6638A">
      <w:pPr>
        <w:pStyle w:val="Odstavecseseznamem"/>
        <w:numPr>
          <w:ilvl w:val="0"/>
          <w:numId w:val="1"/>
        </w:numPr>
        <w:tabs>
          <w:tab w:val="left" w:pos="1701"/>
        </w:tabs>
        <w:spacing w:line="240" w:lineRule="auto"/>
      </w:pPr>
      <w:proofErr w:type="spellStart"/>
      <w:r>
        <w:t>Isère</w:t>
      </w:r>
      <w:proofErr w:type="spellEnd"/>
      <w:r>
        <w:t xml:space="preserve"> </w:t>
      </w:r>
      <w:r>
        <w:tab/>
        <w:t>290</w:t>
      </w:r>
    </w:p>
    <w:p w:rsidR="007C1623" w:rsidRPr="00C6638A" w:rsidRDefault="007C1623" w:rsidP="007C1623">
      <w:pPr>
        <w:tabs>
          <w:tab w:val="left" w:pos="1701"/>
        </w:tabs>
        <w:rPr>
          <w:b/>
          <w:color w:val="FF0000"/>
          <w:sz w:val="32"/>
        </w:rPr>
      </w:pPr>
      <w:r w:rsidRPr="00C6638A">
        <w:rPr>
          <w:b/>
          <w:color w:val="FF0000"/>
          <w:sz w:val="32"/>
        </w:rPr>
        <w:t>Zde bude graf s</w:t>
      </w:r>
      <w:r w:rsidR="00C6638A" w:rsidRPr="00C6638A">
        <w:rPr>
          <w:b/>
          <w:color w:val="FF0000"/>
          <w:sz w:val="32"/>
        </w:rPr>
        <w:t> délkou jednotlivých řek</w:t>
      </w:r>
      <w:r w:rsidR="00FC3122">
        <w:rPr>
          <w:b/>
          <w:color w:val="FF0000"/>
          <w:sz w:val="32"/>
        </w:rPr>
        <w:t xml:space="preserve"> název grafu, hodnoty </w:t>
      </w:r>
    </w:p>
    <w:p w:rsidR="007C1623" w:rsidRPr="007C1623" w:rsidRDefault="007C1623" w:rsidP="007C1623">
      <w:pPr>
        <w:pStyle w:val="Nadpis2"/>
      </w:pPr>
      <w:r w:rsidRPr="007C1623">
        <w:t>Ledovce</w:t>
      </w:r>
    </w:p>
    <w:p w:rsidR="007C1623" w:rsidRDefault="007C1623" w:rsidP="007C1623">
      <w:pPr>
        <w:tabs>
          <w:tab w:val="left" w:pos="1701"/>
        </w:tabs>
      </w:pPr>
      <w:r w:rsidRPr="007C1623">
        <w:t xml:space="preserve">Dnešní zalednění Alpského systému (3 200 km²) jsou asi 2% </w:t>
      </w:r>
      <w:proofErr w:type="gramStart"/>
      <w:r w:rsidRPr="007C1623">
        <w:t>původního</w:t>
      </w:r>
      <w:proofErr w:type="gramEnd"/>
      <w:r w:rsidRPr="007C1623">
        <w:t xml:space="preserve"> plochy </w:t>
      </w:r>
      <w:proofErr w:type="spellStart"/>
      <w:r w:rsidRPr="007C1623">
        <w:t>pleistocéních</w:t>
      </w:r>
      <w:proofErr w:type="spellEnd"/>
      <w:r w:rsidRPr="007C1623">
        <w:t xml:space="preserve"> ledovců. Za posledních 150 let pozorujeme značný ústup ledovců. Tato proměna odtávání (ablace) bývá v některých obdobích přerušována. Jsou však i roky, kdy dochází i k úbytkům v</w:t>
      </w:r>
      <w:r>
        <w:t> </w:t>
      </w:r>
      <w:r w:rsidRPr="007C1623">
        <w:t>řádech metrů mocnosti ledovců (např. Dachstein). V létě nezamrzají ledovce ani přes noc a tím dochází k velkým úbytkům v důsledku odtávání. Tento fakt způsobuje velkou měrou globální oteplování planety.</w:t>
      </w:r>
    </w:p>
    <w:p w:rsidR="007C1623" w:rsidRPr="007C1623" w:rsidRDefault="007C1623" w:rsidP="007C1623">
      <w:pPr>
        <w:pStyle w:val="Nadpis3"/>
        <w:rPr>
          <w:color w:val="auto"/>
        </w:rPr>
      </w:pPr>
      <w:proofErr w:type="spellStart"/>
      <w:r>
        <w:t>Aletschský</w:t>
      </w:r>
      <w:proofErr w:type="spellEnd"/>
      <w:r>
        <w:t xml:space="preserve"> ledovec</w:t>
      </w:r>
    </w:p>
    <w:p w:rsidR="007C1623" w:rsidRPr="007C1623" w:rsidRDefault="007C1623" w:rsidP="007C1623">
      <w:pPr>
        <w:tabs>
          <w:tab w:val="left" w:pos="1701"/>
        </w:tabs>
      </w:pPr>
      <w:r w:rsidRPr="007C1623">
        <w:t xml:space="preserve">Největším ledovcem Alp je Velký </w:t>
      </w:r>
      <w:proofErr w:type="spellStart"/>
      <w:r w:rsidRPr="007C1623">
        <w:t>Aletschský</w:t>
      </w:r>
      <w:proofErr w:type="spellEnd"/>
      <w:r w:rsidRPr="007C1623">
        <w:t xml:space="preserve"> ledovec v Bernských Alpách. Délka je 24 km, plocha asi 115 km². Místo, kde se pod vrcholem </w:t>
      </w:r>
      <w:proofErr w:type="spellStart"/>
      <w:r w:rsidRPr="007C1623">
        <w:t>Aletschhorn</w:t>
      </w:r>
      <w:proofErr w:type="spellEnd"/>
      <w:r w:rsidRPr="007C1623">
        <w:t xml:space="preserve"> stéká několik ledovců v jeden mohutný ledovcový proud se nazývá </w:t>
      </w:r>
      <w:proofErr w:type="spellStart"/>
      <w:r w:rsidRPr="007C1623">
        <w:t>Konkordiaplatz</w:t>
      </w:r>
      <w:proofErr w:type="spellEnd"/>
      <w:r w:rsidRPr="007C1623">
        <w:t>. Mocnost ledu zde dosahuje kolem 350</w:t>
      </w:r>
      <w:r>
        <w:t> </w:t>
      </w:r>
      <w:r w:rsidRPr="007C1623">
        <w:t>m.</w:t>
      </w:r>
    </w:p>
    <w:p w:rsidR="007C1623" w:rsidRPr="007C1623" w:rsidRDefault="007C1623" w:rsidP="007C1623">
      <w:pPr>
        <w:tabs>
          <w:tab w:val="left" w:pos="1701"/>
        </w:tabs>
      </w:pPr>
      <w:r w:rsidRPr="007C1623">
        <w:lastRenderedPageBreak/>
        <w:t xml:space="preserve">Další velké ledovce v Alpách jsou </w:t>
      </w:r>
      <w:proofErr w:type="spellStart"/>
      <w:r w:rsidRPr="007C1623">
        <w:t>Gornergletscher</w:t>
      </w:r>
      <w:proofErr w:type="spellEnd"/>
      <w:r w:rsidRPr="007C1623">
        <w:t xml:space="preserve"> ve </w:t>
      </w:r>
      <w:proofErr w:type="spellStart"/>
      <w:r w:rsidRPr="007C1623">
        <w:t>Walliských</w:t>
      </w:r>
      <w:proofErr w:type="spellEnd"/>
      <w:r w:rsidRPr="007C1623">
        <w:t xml:space="preserve"> </w:t>
      </w:r>
      <w:proofErr w:type="gramStart"/>
      <w:r w:rsidRPr="007C1623">
        <w:t>Alpách(délka</w:t>
      </w:r>
      <w:proofErr w:type="gramEnd"/>
      <w:r w:rsidRPr="007C1623">
        <w:t xml:space="preserve"> 15 km a rozloha 67 km²) nebo </w:t>
      </w:r>
      <w:proofErr w:type="spellStart"/>
      <w:r w:rsidRPr="007C1623">
        <w:t>Mer</w:t>
      </w:r>
      <w:proofErr w:type="spellEnd"/>
      <w:r w:rsidRPr="007C1623">
        <w:t xml:space="preserve"> de Glace v Savojských Alpách (délka 16 km, rozloha 55 km²).</w:t>
      </w:r>
    </w:p>
    <w:p w:rsidR="007C1623" w:rsidRPr="007C1623" w:rsidRDefault="007C1623" w:rsidP="007C1623">
      <w:pPr>
        <w:pStyle w:val="Nadpis2"/>
      </w:pPr>
      <w:r w:rsidRPr="007C1623">
        <w:t>Členění</w:t>
      </w:r>
    </w:p>
    <w:p w:rsidR="007C1623" w:rsidRPr="007C1623" w:rsidRDefault="007C1623" w:rsidP="007C1623">
      <w:r w:rsidRPr="007C1623">
        <w:t xml:space="preserve">Nejběžněji se Alpy dělí na dva velké celky – Západní a Východní Alpy. Hranici těchto celků tvoří spojnice mezi Bodamským jezerem, Rýnem, sedlem </w:t>
      </w:r>
      <w:proofErr w:type="spellStart"/>
      <w:r w:rsidRPr="007C1623">
        <w:t>Splügenpass</w:t>
      </w:r>
      <w:proofErr w:type="spellEnd"/>
      <w:r w:rsidRPr="007C1623">
        <w:t xml:space="preserve">, řekami Liro a </w:t>
      </w:r>
      <w:proofErr w:type="spellStart"/>
      <w:r w:rsidRPr="007C1623">
        <w:t>Mera</w:t>
      </w:r>
      <w:proofErr w:type="spellEnd"/>
      <w:r w:rsidRPr="007C1623">
        <w:t xml:space="preserve"> a </w:t>
      </w:r>
      <w:proofErr w:type="spellStart"/>
      <w:r w:rsidRPr="007C1623">
        <w:t>Comským</w:t>
      </w:r>
      <w:proofErr w:type="spellEnd"/>
      <w:r w:rsidRPr="007C1623">
        <w:t xml:space="preserve"> jezerem. Západní Alpy zabírají asi 40% a Východní Alpy 60% celkové rozlohy systému.</w:t>
      </w:r>
    </w:p>
    <w:p w:rsidR="007C1623" w:rsidRPr="007C1623" w:rsidRDefault="007C1623" w:rsidP="007C1623">
      <w:r w:rsidRPr="007C1623">
        <w:t xml:space="preserve">Současně uznávaná hranice mezi těmito celky nebyla odjakživa vedena tímto směrem. Do roku 1919 bylo rozdělení Východních a Západních Alp podle politické hranice. Nejvyšším vrcholem tehdejších Východních Alp byl </w:t>
      </w:r>
      <w:proofErr w:type="spellStart"/>
      <w:r w:rsidRPr="007C1623">
        <w:t>Ortler</w:t>
      </w:r>
      <w:proofErr w:type="spellEnd"/>
      <w:r w:rsidRPr="007C1623">
        <w:t xml:space="preserve">. Tato východní část se totiž nacházela na východ od švýcarských hranic. Členění do jednotlivých pohoří je v literatuře nejednotné a mnohdy zcela rozdílné nebo až chaotické. Z mnoha skupin jsou osamostatněny jejich významné části (Savojské Alpy a </w:t>
      </w:r>
      <w:proofErr w:type="spellStart"/>
      <w:r w:rsidRPr="007C1623">
        <w:t>Mont</w:t>
      </w:r>
      <w:proofErr w:type="spellEnd"/>
      <w:r w:rsidRPr="007C1623">
        <w:t xml:space="preserve"> </w:t>
      </w:r>
      <w:proofErr w:type="spellStart"/>
      <w:r w:rsidRPr="007C1623">
        <w:t>Blanc</w:t>
      </w:r>
      <w:proofErr w:type="spellEnd"/>
      <w:r w:rsidRPr="007C1623">
        <w:t xml:space="preserve">). Od řady horských masivů se zase oddělují tzv. </w:t>
      </w:r>
      <w:proofErr w:type="spellStart"/>
      <w:r w:rsidRPr="007C1623">
        <w:t>Voralpen</w:t>
      </w:r>
      <w:proofErr w:type="spellEnd"/>
      <w:r w:rsidRPr="007C1623">
        <w:t xml:space="preserve"> (alpská předhůří). Hranice těchto předhůří (Bavorské předhůří, Hornorakouské předhůří apod.) nejsou pevně vytyčeny. Nejvyšší vrcholy systému se až na výjimky nacházejí v Západních Alpách. Vrcholů dosahujících výšky 4 000 m je 60, ovšem pouze jeden (</w:t>
      </w:r>
      <w:proofErr w:type="spellStart"/>
      <w:r w:rsidRPr="007C1623">
        <w:t>Piz</w:t>
      </w:r>
      <w:proofErr w:type="spellEnd"/>
      <w:r w:rsidRPr="007C1623">
        <w:t xml:space="preserve"> </w:t>
      </w:r>
      <w:proofErr w:type="spellStart"/>
      <w:r w:rsidRPr="007C1623">
        <w:t>Bernina</w:t>
      </w:r>
      <w:proofErr w:type="spellEnd"/>
      <w:r w:rsidRPr="007C1623">
        <w:t>, 4 049 m) náleží do Východních Alp.</w:t>
      </w:r>
    </w:p>
    <w:p w:rsidR="007C1623" w:rsidRPr="007C1623" w:rsidRDefault="007C1623" w:rsidP="007C1623">
      <w:pPr>
        <w:pStyle w:val="Nadpis3"/>
      </w:pPr>
      <w:r w:rsidRPr="007C1623">
        <w:t>Západní Alpy</w:t>
      </w:r>
    </w:p>
    <w:p w:rsidR="007C1623" w:rsidRDefault="007C1623" w:rsidP="007C1623">
      <w:r w:rsidRPr="007C1623">
        <w:t xml:space="preserve">Do tohoto celku patří takřka celé Švýcarské Alpy, některé části Italských Alp a Francouzské Alpy. Oblouk Západních Alp je otevřený k východu a obklopuje severoitalské nížiny Piemontskou a Lombardskou. Tato část pohoří leží západně od linie Bodamské jezero – horní tok Rýna. Obecně lze říci, že hory Západních Alp jsou vyšší a mají strmější svahy s velkými výškovými rozdíly. Nalézají se zde nejdelší a nejrozsáhlejší alpské ledovce. </w:t>
      </w:r>
      <w:proofErr w:type="spellStart"/>
      <w:r w:rsidRPr="007C1623">
        <w:t>Mont</w:t>
      </w:r>
      <w:proofErr w:type="spellEnd"/>
      <w:r w:rsidRPr="007C1623">
        <w:t xml:space="preserve"> </w:t>
      </w:r>
      <w:proofErr w:type="spellStart"/>
      <w:r w:rsidRPr="007C1623">
        <w:t>Blanc</w:t>
      </w:r>
      <w:proofErr w:type="spellEnd"/>
      <w:r w:rsidRPr="007C1623">
        <w:t xml:space="preserve"> na italsko-francouzských hranicích je se svými 4 810 metry nejvyšším vrcholem Alp a zároveň celé Evropské Unie. Dalšími významnými vrcholy jsou např. Matterhorn na švýcarsko-italských hranicích či Jungfrau a </w:t>
      </w:r>
      <w:proofErr w:type="spellStart"/>
      <w:r w:rsidRPr="007C1623">
        <w:t>Eiger</w:t>
      </w:r>
      <w:proofErr w:type="spellEnd"/>
      <w:r w:rsidRPr="007C1623">
        <w:t xml:space="preserve"> v Bernských Alpách.</w:t>
      </w:r>
    </w:p>
    <w:p w:rsidR="007C1623" w:rsidRDefault="007C1623" w:rsidP="007C1623">
      <w:pPr>
        <w:pStyle w:val="Nadpis2"/>
      </w:pPr>
      <w:r>
        <w:t>Východní Alpy</w:t>
      </w:r>
    </w:p>
    <w:p w:rsidR="007C1623" w:rsidRDefault="007C1623" w:rsidP="007C1623">
      <w:r>
        <w:t xml:space="preserve">Východní Alpy se skládají z </w:t>
      </w:r>
      <w:proofErr w:type="gramStart"/>
      <w:r>
        <w:t>celků : Rakouské</w:t>
      </w:r>
      <w:proofErr w:type="gramEnd"/>
      <w:r>
        <w:t xml:space="preserve"> Alpy, Italské Alpy, Slovinské Alpy a malou částí i Švýcarské Alpy. Sněžná čára Východních Alp dosahuje 2 800 metrů na severním a 2 900 metrů na jižním svahu. V této části dosahují nejvyšších vrcholů </w:t>
      </w:r>
      <w:proofErr w:type="spellStart"/>
      <w:r>
        <w:t>Ötztaler</w:t>
      </w:r>
      <w:proofErr w:type="spellEnd"/>
      <w:r>
        <w:t xml:space="preserve"> </w:t>
      </w:r>
      <w:proofErr w:type="spellStart"/>
      <w:r>
        <w:t>Alpen</w:t>
      </w:r>
      <w:proofErr w:type="spellEnd"/>
      <w:r>
        <w:t xml:space="preserve"> (</w:t>
      </w:r>
      <w:proofErr w:type="spellStart"/>
      <w:r>
        <w:t>Wildspitze</w:t>
      </w:r>
      <w:proofErr w:type="spellEnd"/>
      <w:r>
        <w:t xml:space="preserve"> 3 772 m) </w:t>
      </w:r>
      <w:r>
        <w:lastRenderedPageBreak/>
        <w:t xml:space="preserve">sahající k švýcarským a italským hranicím. Sem naštěstí zasáhl turistický boom o něco citlivěji, než v jiných oblastech, takže na ploše kolem 500 km² narazíme jen zřídka na známky lidské činnosti, například přehradní nádrž </w:t>
      </w:r>
      <w:proofErr w:type="spellStart"/>
      <w:r>
        <w:t>Gepatsch</w:t>
      </w:r>
      <w:proofErr w:type="spellEnd"/>
      <w:r>
        <w:t xml:space="preserve">, několik sjezdovek a malé vesničky. Na západě jsou ohraničeny Innem a na východě údolím </w:t>
      </w:r>
      <w:proofErr w:type="spellStart"/>
      <w:r>
        <w:t>Ötztal</w:t>
      </w:r>
      <w:proofErr w:type="spellEnd"/>
      <w:r>
        <w:t xml:space="preserve">. Za ním pak navazují </w:t>
      </w:r>
      <w:proofErr w:type="spellStart"/>
      <w:r>
        <w:t>Stubaier</w:t>
      </w:r>
      <w:proofErr w:type="spellEnd"/>
      <w:r>
        <w:t xml:space="preserve"> </w:t>
      </w:r>
      <w:proofErr w:type="spellStart"/>
      <w:r>
        <w:t>Alpen</w:t>
      </w:r>
      <w:proofErr w:type="spellEnd"/>
      <w:r>
        <w:t xml:space="preserve"> (</w:t>
      </w:r>
      <w:proofErr w:type="spellStart"/>
      <w:r>
        <w:t>Zuckerhütl</w:t>
      </w:r>
      <w:proofErr w:type="spellEnd"/>
      <w:r>
        <w:t xml:space="preserve"> 3 507 m). V západní části jsou rovněž panenské, ale </w:t>
      </w:r>
      <w:proofErr w:type="spellStart"/>
      <w:r>
        <w:t>Brennerský</w:t>
      </w:r>
      <w:proofErr w:type="spellEnd"/>
      <w:r>
        <w:t xml:space="preserve"> průsmyk (1 371 m), který je </w:t>
      </w:r>
      <w:proofErr w:type="gramStart"/>
      <w:r>
        <w:t>ohraničuje</w:t>
      </w:r>
      <w:proofErr w:type="gramEnd"/>
      <w:r>
        <w:t xml:space="preserve"> z východu dnes </w:t>
      </w:r>
      <w:proofErr w:type="gramStart"/>
      <w:r>
        <w:t>slouží</w:t>
      </w:r>
      <w:proofErr w:type="gramEnd"/>
      <w:r>
        <w:t xml:space="preserve"> jako dopravní tepna z Innsbrucku do italského </w:t>
      </w:r>
      <w:proofErr w:type="spellStart"/>
      <w:r>
        <w:t>Bolzana</w:t>
      </w:r>
      <w:proofErr w:type="spellEnd"/>
      <w:r>
        <w:t xml:space="preserve">, čili ideální místo na využití svahů pro sportovní a rekreační účely. V tomto průsmyku vedla už v roce 1772 silnice, 1867 železnice a dnes dálnice A13. Dále na východ pokračují </w:t>
      </w:r>
      <w:proofErr w:type="spellStart"/>
      <w:r>
        <w:t>Zillertalské</w:t>
      </w:r>
      <w:proofErr w:type="spellEnd"/>
      <w:r>
        <w:t xml:space="preserve"> Alpy s kvalitními lyžařskými areály v okolí </w:t>
      </w:r>
      <w:proofErr w:type="spellStart"/>
      <w:r>
        <w:t>Mayrhofenu</w:t>
      </w:r>
      <w:proofErr w:type="spellEnd"/>
      <w:r>
        <w:t xml:space="preserve"> nebo na severním svahu hory </w:t>
      </w:r>
      <w:proofErr w:type="spellStart"/>
      <w:r>
        <w:t>Olperer</w:t>
      </w:r>
      <w:proofErr w:type="spellEnd"/>
      <w:r>
        <w:t xml:space="preserve"> (3 476 m). Některé sjezdové tratě jsou až 12 km dlouhé. Ve Vnějších Alpách se s místy věčného sněhu nesetkáváme. Na severovýchodě mezi řekami Inn, </w:t>
      </w:r>
      <w:proofErr w:type="spellStart"/>
      <w:r>
        <w:t>Rosanna</w:t>
      </w:r>
      <w:proofErr w:type="spellEnd"/>
      <w:r>
        <w:t xml:space="preserve"> a Lech se táhne v délce 40 kilometrů romantické horské pásmo </w:t>
      </w:r>
      <w:proofErr w:type="spellStart"/>
      <w:r>
        <w:t>Lechtaler</w:t>
      </w:r>
      <w:proofErr w:type="spellEnd"/>
      <w:r>
        <w:t xml:space="preserve"> </w:t>
      </w:r>
      <w:proofErr w:type="spellStart"/>
      <w:r>
        <w:t>Alpen</w:t>
      </w:r>
      <w:proofErr w:type="spellEnd"/>
      <w:r>
        <w:t xml:space="preserve"> s nejvyšší horou </w:t>
      </w:r>
      <w:proofErr w:type="spellStart"/>
      <w:r>
        <w:t>Parseierspitze</w:t>
      </w:r>
      <w:proofErr w:type="spellEnd"/>
      <w:r>
        <w:t xml:space="preserve"> (3 036 m) nad městečkem </w:t>
      </w:r>
      <w:proofErr w:type="spellStart"/>
      <w:r>
        <w:t>Landeck</w:t>
      </w:r>
      <w:proofErr w:type="spellEnd"/>
      <w:r>
        <w:t xml:space="preserve">. Horská silnice mezi </w:t>
      </w:r>
      <w:proofErr w:type="spellStart"/>
      <w:r>
        <w:t>Imstem</w:t>
      </w:r>
      <w:proofErr w:type="spellEnd"/>
      <w:r>
        <w:t xml:space="preserve"> a </w:t>
      </w:r>
      <w:proofErr w:type="spellStart"/>
      <w:r>
        <w:t>Elmenem</w:t>
      </w:r>
      <w:proofErr w:type="spellEnd"/>
      <w:r>
        <w:t xml:space="preserve"> překonává hřeben v sedle </w:t>
      </w:r>
      <w:proofErr w:type="spellStart"/>
      <w:r>
        <w:t>Hahntennjoch</w:t>
      </w:r>
      <w:proofErr w:type="spellEnd"/>
      <w:r>
        <w:t xml:space="preserve"> v nadmořské výšce 1 905 metrů. Hlavní hřeben Východních Alp dosahuje délky takřka 500 km.</w:t>
      </w:r>
    </w:p>
    <w:p w:rsidR="007C1623" w:rsidRDefault="007C1623" w:rsidP="007C1623">
      <w:pPr>
        <w:pStyle w:val="Nadpis2"/>
      </w:pPr>
      <w:r>
        <w:t>Vrcholy</w:t>
      </w:r>
    </w:p>
    <w:p w:rsidR="007C1623" w:rsidRDefault="007C1623" w:rsidP="007C1623">
      <w:r>
        <w:t>Následující tabulky obsahují seznam 10 nejvýznamnějších alpských vrcholů podle výšky.</w:t>
      </w:r>
    </w:p>
    <w:tbl>
      <w:tblPr>
        <w:tblStyle w:val="Mkatabulky"/>
        <w:tblW w:w="0" w:type="auto"/>
        <w:tblLook w:val="04A0" w:firstRow="1" w:lastRow="0" w:firstColumn="1" w:lastColumn="0" w:noHBand="0" w:noVBand="1"/>
      </w:tblPr>
      <w:tblGrid>
        <w:gridCol w:w="2282"/>
        <w:gridCol w:w="2252"/>
        <w:gridCol w:w="2267"/>
        <w:gridCol w:w="2261"/>
      </w:tblGrid>
      <w:tr w:rsidR="007C1623" w:rsidRPr="007C1623" w:rsidTr="007C1623">
        <w:trPr>
          <w:trHeight w:val="435"/>
          <w:tblHeader/>
        </w:trPr>
        <w:tc>
          <w:tcPr>
            <w:tcW w:w="2301" w:type="dxa"/>
          </w:tcPr>
          <w:p w:rsidR="007C1623" w:rsidRPr="007C1623" w:rsidRDefault="007C1623" w:rsidP="00A30A3B">
            <w:pPr>
              <w:rPr>
                <w:b/>
              </w:rPr>
            </w:pPr>
            <w:r w:rsidRPr="007C1623">
              <w:rPr>
                <w:b/>
              </w:rPr>
              <w:t xml:space="preserve">Název </w:t>
            </w:r>
          </w:p>
        </w:tc>
        <w:tc>
          <w:tcPr>
            <w:tcW w:w="2301" w:type="dxa"/>
          </w:tcPr>
          <w:p w:rsidR="007C1623" w:rsidRPr="007C1623" w:rsidRDefault="007C1623" w:rsidP="00A30A3B">
            <w:pPr>
              <w:rPr>
                <w:b/>
              </w:rPr>
            </w:pPr>
            <w:r w:rsidRPr="007C1623">
              <w:rPr>
                <w:b/>
              </w:rPr>
              <w:t xml:space="preserve">Výška </w:t>
            </w:r>
          </w:p>
        </w:tc>
        <w:tc>
          <w:tcPr>
            <w:tcW w:w="2302" w:type="dxa"/>
          </w:tcPr>
          <w:p w:rsidR="007C1623" w:rsidRPr="007C1623" w:rsidRDefault="007C1623" w:rsidP="00A30A3B">
            <w:pPr>
              <w:rPr>
                <w:b/>
              </w:rPr>
            </w:pPr>
            <w:r w:rsidRPr="007C1623">
              <w:rPr>
                <w:b/>
              </w:rPr>
              <w:t xml:space="preserve">Stát </w:t>
            </w:r>
          </w:p>
        </w:tc>
        <w:tc>
          <w:tcPr>
            <w:tcW w:w="2302" w:type="dxa"/>
          </w:tcPr>
          <w:p w:rsidR="007C1623" w:rsidRPr="007C1623" w:rsidRDefault="007C1623" w:rsidP="00A30A3B">
            <w:pPr>
              <w:rPr>
                <w:b/>
              </w:rPr>
            </w:pPr>
            <w:r w:rsidRPr="007C1623">
              <w:rPr>
                <w:b/>
              </w:rPr>
              <w:t>Pohoří</w:t>
            </w:r>
          </w:p>
        </w:tc>
      </w:tr>
      <w:tr w:rsidR="007C1623" w:rsidRPr="007C1623" w:rsidTr="007C1623">
        <w:trPr>
          <w:trHeight w:val="483"/>
        </w:trPr>
        <w:tc>
          <w:tcPr>
            <w:tcW w:w="2301" w:type="dxa"/>
          </w:tcPr>
          <w:p w:rsidR="007C1623" w:rsidRPr="007C1623" w:rsidRDefault="007C1623" w:rsidP="00A30A3B">
            <w:proofErr w:type="spellStart"/>
            <w:r w:rsidRPr="007C1623">
              <w:t>Mont</w:t>
            </w:r>
            <w:proofErr w:type="spellEnd"/>
            <w:r w:rsidRPr="007C1623">
              <w:t xml:space="preserve"> </w:t>
            </w:r>
            <w:proofErr w:type="spellStart"/>
            <w:r w:rsidRPr="007C1623">
              <w:t>Blanc</w:t>
            </w:r>
            <w:proofErr w:type="spellEnd"/>
            <w:r w:rsidRPr="007C1623">
              <w:t xml:space="preserve"> </w:t>
            </w:r>
          </w:p>
        </w:tc>
        <w:tc>
          <w:tcPr>
            <w:tcW w:w="2301" w:type="dxa"/>
          </w:tcPr>
          <w:p w:rsidR="007C1623" w:rsidRPr="007C1623" w:rsidRDefault="007C1623" w:rsidP="00A30A3B">
            <w:r w:rsidRPr="007C1623">
              <w:t xml:space="preserve">4 810 </w:t>
            </w:r>
          </w:p>
        </w:tc>
        <w:tc>
          <w:tcPr>
            <w:tcW w:w="2302" w:type="dxa"/>
          </w:tcPr>
          <w:p w:rsidR="007C1623" w:rsidRPr="007C1623" w:rsidRDefault="007C1623" w:rsidP="00A30A3B">
            <w:r w:rsidRPr="007C1623">
              <w:t xml:space="preserve">Francie, Itálie </w:t>
            </w:r>
          </w:p>
        </w:tc>
        <w:tc>
          <w:tcPr>
            <w:tcW w:w="2302" w:type="dxa"/>
          </w:tcPr>
          <w:p w:rsidR="007C1623" w:rsidRPr="007C1623" w:rsidRDefault="007C1623" w:rsidP="00A30A3B">
            <w:r w:rsidRPr="007C1623">
              <w:t xml:space="preserve">Masiv </w:t>
            </w:r>
            <w:proofErr w:type="spellStart"/>
            <w:r w:rsidRPr="007C1623">
              <w:t>Mont</w:t>
            </w:r>
            <w:proofErr w:type="spellEnd"/>
            <w:r w:rsidRPr="007C1623">
              <w:t xml:space="preserve"> </w:t>
            </w:r>
            <w:proofErr w:type="spellStart"/>
            <w:r w:rsidRPr="007C1623">
              <w:t>Blanc</w:t>
            </w:r>
            <w:proofErr w:type="spellEnd"/>
          </w:p>
        </w:tc>
      </w:tr>
      <w:tr w:rsidR="007C1623" w:rsidRPr="007C1623" w:rsidTr="007C1623">
        <w:trPr>
          <w:trHeight w:val="483"/>
        </w:trPr>
        <w:tc>
          <w:tcPr>
            <w:tcW w:w="2301" w:type="dxa"/>
          </w:tcPr>
          <w:p w:rsidR="007C1623" w:rsidRPr="007C1623" w:rsidRDefault="007C1623" w:rsidP="00A30A3B">
            <w:proofErr w:type="spellStart"/>
            <w:r w:rsidRPr="007C1623">
              <w:t>Dufourspitze</w:t>
            </w:r>
            <w:proofErr w:type="spellEnd"/>
            <w:r w:rsidRPr="007C1623">
              <w:t xml:space="preserve"> </w:t>
            </w:r>
          </w:p>
        </w:tc>
        <w:tc>
          <w:tcPr>
            <w:tcW w:w="2301" w:type="dxa"/>
          </w:tcPr>
          <w:p w:rsidR="007C1623" w:rsidRPr="007C1623" w:rsidRDefault="007C1623" w:rsidP="00A30A3B">
            <w:r w:rsidRPr="007C1623">
              <w:t xml:space="preserve">4 634 </w:t>
            </w:r>
          </w:p>
        </w:tc>
        <w:tc>
          <w:tcPr>
            <w:tcW w:w="2302" w:type="dxa"/>
          </w:tcPr>
          <w:p w:rsidR="007C1623" w:rsidRPr="007C1623" w:rsidRDefault="007C1623" w:rsidP="00A30A3B">
            <w:r w:rsidRPr="007C1623">
              <w:t xml:space="preserve">Švýcarsko, Itálie </w:t>
            </w:r>
          </w:p>
        </w:tc>
        <w:tc>
          <w:tcPr>
            <w:tcW w:w="2302" w:type="dxa"/>
          </w:tcPr>
          <w:p w:rsidR="007C1623" w:rsidRPr="007C1623" w:rsidRDefault="007C1623" w:rsidP="00A30A3B">
            <w:proofErr w:type="spellStart"/>
            <w:r w:rsidRPr="007C1623">
              <w:t>Walliské</w:t>
            </w:r>
            <w:proofErr w:type="spellEnd"/>
            <w:r w:rsidRPr="007C1623">
              <w:t xml:space="preserve"> Alpy</w:t>
            </w:r>
          </w:p>
        </w:tc>
      </w:tr>
      <w:tr w:rsidR="007C1623" w:rsidRPr="007C1623" w:rsidTr="007C1623">
        <w:trPr>
          <w:trHeight w:val="483"/>
        </w:trPr>
        <w:tc>
          <w:tcPr>
            <w:tcW w:w="2301" w:type="dxa"/>
          </w:tcPr>
          <w:p w:rsidR="007C1623" w:rsidRPr="007C1623" w:rsidRDefault="007C1623" w:rsidP="00A30A3B">
            <w:proofErr w:type="spellStart"/>
            <w:r w:rsidRPr="007C1623">
              <w:t>Nordend</w:t>
            </w:r>
            <w:proofErr w:type="spellEnd"/>
            <w:r w:rsidRPr="007C1623">
              <w:t xml:space="preserve"> </w:t>
            </w:r>
          </w:p>
        </w:tc>
        <w:tc>
          <w:tcPr>
            <w:tcW w:w="2301" w:type="dxa"/>
          </w:tcPr>
          <w:p w:rsidR="007C1623" w:rsidRPr="007C1623" w:rsidRDefault="007C1623" w:rsidP="00A30A3B">
            <w:r w:rsidRPr="007C1623">
              <w:t xml:space="preserve">4 609 </w:t>
            </w:r>
          </w:p>
        </w:tc>
        <w:tc>
          <w:tcPr>
            <w:tcW w:w="2302" w:type="dxa"/>
          </w:tcPr>
          <w:p w:rsidR="007C1623" w:rsidRPr="007C1623" w:rsidRDefault="007C1623" w:rsidP="00A30A3B">
            <w:r w:rsidRPr="007C1623">
              <w:t xml:space="preserve">Švýcarsko </w:t>
            </w:r>
          </w:p>
        </w:tc>
        <w:tc>
          <w:tcPr>
            <w:tcW w:w="2302" w:type="dxa"/>
          </w:tcPr>
          <w:p w:rsidR="007C1623" w:rsidRPr="007C1623" w:rsidRDefault="007C1623" w:rsidP="00A30A3B">
            <w:proofErr w:type="spellStart"/>
            <w:r w:rsidRPr="007C1623">
              <w:t>Walliské</w:t>
            </w:r>
            <w:proofErr w:type="spellEnd"/>
            <w:r w:rsidRPr="007C1623">
              <w:t xml:space="preserve"> Alpy</w:t>
            </w:r>
          </w:p>
        </w:tc>
      </w:tr>
      <w:tr w:rsidR="007C1623" w:rsidRPr="007C1623" w:rsidTr="007C1623">
        <w:trPr>
          <w:trHeight w:val="483"/>
        </w:trPr>
        <w:tc>
          <w:tcPr>
            <w:tcW w:w="2301" w:type="dxa"/>
          </w:tcPr>
          <w:p w:rsidR="007C1623" w:rsidRPr="007C1623" w:rsidRDefault="007C1623" w:rsidP="00A30A3B">
            <w:proofErr w:type="spellStart"/>
            <w:r w:rsidRPr="007C1623">
              <w:t>Zumsteinspitze</w:t>
            </w:r>
            <w:proofErr w:type="spellEnd"/>
            <w:r w:rsidRPr="007C1623">
              <w:t xml:space="preserve"> </w:t>
            </w:r>
          </w:p>
        </w:tc>
        <w:tc>
          <w:tcPr>
            <w:tcW w:w="2301" w:type="dxa"/>
          </w:tcPr>
          <w:p w:rsidR="007C1623" w:rsidRPr="007C1623" w:rsidRDefault="007C1623" w:rsidP="00A30A3B">
            <w:r w:rsidRPr="007C1623">
              <w:t xml:space="preserve">4 563 </w:t>
            </w:r>
          </w:p>
        </w:tc>
        <w:tc>
          <w:tcPr>
            <w:tcW w:w="2302" w:type="dxa"/>
          </w:tcPr>
          <w:p w:rsidR="007C1623" w:rsidRPr="007C1623" w:rsidRDefault="007C1623" w:rsidP="00A30A3B">
            <w:r w:rsidRPr="007C1623">
              <w:t xml:space="preserve">Švýcarsko, Itálie </w:t>
            </w:r>
          </w:p>
        </w:tc>
        <w:tc>
          <w:tcPr>
            <w:tcW w:w="2302" w:type="dxa"/>
          </w:tcPr>
          <w:p w:rsidR="007C1623" w:rsidRPr="007C1623" w:rsidRDefault="007C1623" w:rsidP="00A30A3B">
            <w:proofErr w:type="spellStart"/>
            <w:r w:rsidRPr="007C1623">
              <w:t>Walliské</w:t>
            </w:r>
            <w:proofErr w:type="spellEnd"/>
            <w:r w:rsidRPr="007C1623">
              <w:t xml:space="preserve"> Alpy</w:t>
            </w:r>
          </w:p>
        </w:tc>
      </w:tr>
      <w:tr w:rsidR="007C1623" w:rsidRPr="007C1623" w:rsidTr="007C1623">
        <w:trPr>
          <w:trHeight w:val="483"/>
        </w:trPr>
        <w:tc>
          <w:tcPr>
            <w:tcW w:w="2301" w:type="dxa"/>
          </w:tcPr>
          <w:p w:rsidR="007C1623" w:rsidRPr="007C1623" w:rsidRDefault="007C1623" w:rsidP="00A30A3B">
            <w:proofErr w:type="spellStart"/>
            <w:r w:rsidRPr="007C1623">
              <w:t>Signalkuppe</w:t>
            </w:r>
            <w:proofErr w:type="spellEnd"/>
            <w:r w:rsidRPr="007C1623">
              <w:t xml:space="preserve"> </w:t>
            </w:r>
          </w:p>
        </w:tc>
        <w:tc>
          <w:tcPr>
            <w:tcW w:w="2301" w:type="dxa"/>
          </w:tcPr>
          <w:p w:rsidR="007C1623" w:rsidRPr="007C1623" w:rsidRDefault="007C1623" w:rsidP="00A30A3B">
            <w:r w:rsidRPr="007C1623">
              <w:t xml:space="preserve">4 556 </w:t>
            </w:r>
          </w:p>
        </w:tc>
        <w:tc>
          <w:tcPr>
            <w:tcW w:w="2302" w:type="dxa"/>
          </w:tcPr>
          <w:p w:rsidR="007C1623" w:rsidRPr="007C1623" w:rsidRDefault="007C1623" w:rsidP="00A30A3B">
            <w:r w:rsidRPr="007C1623">
              <w:t xml:space="preserve">Švýcarsko, Itálie </w:t>
            </w:r>
          </w:p>
        </w:tc>
        <w:tc>
          <w:tcPr>
            <w:tcW w:w="2302" w:type="dxa"/>
          </w:tcPr>
          <w:p w:rsidR="007C1623" w:rsidRPr="007C1623" w:rsidRDefault="007C1623" w:rsidP="00A30A3B">
            <w:proofErr w:type="spellStart"/>
            <w:r w:rsidRPr="007C1623">
              <w:t>Walliské</w:t>
            </w:r>
            <w:proofErr w:type="spellEnd"/>
            <w:r w:rsidRPr="007C1623">
              <w:t xml:space="preserve"> Alpy</w:t>
            </w:r>
          </w:p>
        </w:tc>
      </w:tr>
      <w:tr w:rsidR="007C1623" w:rsidRPr="007C1623" w:rsidTr="007C1623">
        <w:trPr>
          <w:trHeight w:val="483"/>
        </w:trPr>
        <w:tc>
          <w:tcPr>
            <w:tcW w:w="2301" w:type="dxa"/>
          </w:tcPr>
          <w:p w:rsidR="007C1623" w:rsidRPr="007C1623" w:rsidRDefault="007C1623" w:rsidP="00A30A3B">
            <w:r w:rsidRPr="007C1623">
              <w:t xml:space="preserve">Dom </w:t>
            </w:r>
          </w:p>
        </w:tc>
        <w:tc>
          <w:tcPr>
            <w:tcW w:w="2301" w:type="dxa"/>
          </w:tcPr>
          <w:p w:rsidR="007C1623" w:rsidRPr="007C1623" w:rsidRDefault="007C1623" w:rsidP="00A30A3B">
            <w:r w:rsidRPr="007C1623">
              <w:t xml:space="preserve">4 545 </w:t>
            </w:r>
          </w:p>
        </w:tc>
        <w:tc>
          <w:tcPr>
            <w:tcW w:w="2302" w:type="dxa"/>
          </w:tcPr>
          <w:p w:rsidR="007C1623" w:rsidRPr="007C1623" w:rsidRDefault="007C1623" w:rsidP="00A30A3B">
            <w:r w:rsidRPr="007C1623">
              <w:t xml:space="preserve">Švýcarsko </w:t>
            </w:r>
          </w:p>
        </w:tc>
        <w:tc>
          <w:tcPr>
            <w:tcW w:w="2302" w:type="dxa"/>
          </w:tcPr>
          <w:p w:rsidR="007C1623" w:rsidRPr="007C1623" w:rsidRDefault="007C1623" w:rsidP="00A30A3B">
            <w:proofErr w:type="spellStart"/>
            <w:r w:rsidRPr="007C1623">
              <w:t>Walliské</w:t>
            </w:r>
            <w:proofErr w:type="spellEnd"/>
            <w:r w:rsidRPr="007C1623">
              <w:t xml:space="preserve"> Alpy</w:t>
            </w:r>
          </w:p>
        </w:tc>
      </w:tr>
      <w:tr w:rsidR="007C1623" w:rsidRPr="007C1623" w:rsidTr="007C1623">
        <w:trPr>
          <w:trHeight w:val="483"/>
        </w:trPr>
        <w:tc>
          <w:tcPr>
            <w:tcW w:w="2301" w:type="dxa"/>
          </w:tcPr>
          <w:p w:rsidR="007C1623" w:rsidRPr="007C1623" w:rsidRDefault="007C1623" w:rsidP="00A30A3B">
            <w:proofErr w:type="spellStart"/>
            <w:r w:rsidRPr="007C1623">
              <w:t>Lyskamm</w:t>
            </w:r>
            <w:proofErr w:type="spellEnd"/>
            <w:r w:rsidRPr="007C1623">
              <w:t xml:space="preserve"> </w:t>
            </w:r>
          </w:p>
        </w:tc>
        <w:tc>
          <w:tcPr>
            <w:tcW w:w="2301" w:type="dxa"/>
          </w:tcPr>
          <w:p w:rsidR="007C1623" w:rsidRPr="007C1623" w:rsidRDefault="007C1623" w:rsidP="00A30A3B">
            <w:r w:rsidRPr="007C1623">
              <w:t xml:space="preserve">4 527 </w:t>
            </w:r>
          </w:p>
        </w:tc>
        <w:tc>
          <w:tcPr>
            <w:tcW w:w="2302" w:type="dxa"/>
          </w:tcPr>
          <w:p w:rsidR="007C1623" w:rsidRPr="007C1623" w:rsidRDefault="007C1623" w:rsidP="00A30A3B">
            <w:r w:rsidRPr="007C1623">
              <w:t xml:space="preserve">Švýcarsko, Itálie </w:t>
            </w:r>
          </w:p>
        </w:tc>
        <w:tc>
          <w:tcPr>
            <w:tcW w:w="2302" w:type="dxa"/>
          </w:tcPr>
          <w:p w:rsidR="007C1623" w:rsidRPr="007C1623" w:rsidRDefault="007C1623" w:rsidP="00A30A3B">
            <w:proofErr w:type="spellStart"/>
            <w:r w:rsidRPr="007C1623">
              <w:t>Walliské</w:t>
            </w:r>
            <w:proofErr w:type="spellEnd"/>
            <w:r w:rsidRPr="007C1623">
              <w:t xml:space="preserve"> Alpy</w:t>
            </w:r>
          </w:p>
        </w:tc>
      </w:tr>
      <w:tr w:rsidR="007C1623" w:rsidRPr="007C1623" w:rsidTr="007C1623">
        <w:trPr>
          <w:trHeight w:val="483"/>
        </w:trPr>
        <w:tc>
          <w:tcPr>
            <w:tcW w:w="2301" w:type="dxa"/>
          </w:tcPr>
          <w:p w:rsidR="007C1623" w:rsidRPr="007C1623" w:rsidRDefault="007C1623" w:rsidP="00A30A3B">
            <w:proofErr w:type="spellStart"/>
            <w:r w:rsidRPr="007C1623">
              <w:t>Weisshorn</w:t>
            </w:r>
            <w:proofErr w:type="spellEnd"/>
            <w:r w:rsidRPr="007C1623">
              <w:t xml:space="preserve"> </w:t>
            </w:r>
          </w:p>
        </w:tc>
        <w:tc>
          <w:tcPr>
            <w:tcW w:w="2301" w:type="dxa"/>
          </w:tcPr>
          <w:p w:rsidR="007C1623" w:rsidRPr="007C1623" w:rsidRDefault="007C1623" w:rsidP="00A30A3B">
            <w:r w:rsidRPr="007C1623">
              <w:t xml:space="preserve">4 505 </w:t>
            </w:r>
          </w:p>
        </w:tc>
        <w:tc>
          <w:tcPr>
            <w:tcW w:w="2302" w:type="dxa"/>
          </w:tcPr>
          <w:p w:rsidR="007C1623" w:rsidRPr="007C1623" w:rsidRDefault="007C1623" w:rsidP="00A30A3B">
            <w:r w:rsidRPr="007C1623">
              <w:t xml:space="preserve">Švýcarsko </w:t>
            </w:r>
          </w:p>
        </w:tc>
        <w:tc>
          <w:tcPr>
            <w:tcW w:w="2302" w:type="dxa"/>
          </w:tcPr>
          <w:p w:rsidR="007C1623" w:rsidRPr="007C1623" w:rsidRDefault="007C1623" w:rsidP="00A30A3B">
            <w:proofErr w:type="spellStart"/>
            <w:r w:rsidRPr="007C1623">
              <w:t>Walliské</w:t>
            </w:r>
            <w:proofErr w:type="spellEnd"/>
            <w:r w:rsidRPr="007C1623">
              <w:t xml:space="preserve"> Alpy</w:t>
            </w:r>
          </w:p>
        </w:tc>
      </w:tr>
      <w:tr w:rsidR="007C1623" w:rsidRPr="007C1623" w:rsidTr="007C1623">
        <w:trPr>
          <w:trHeight w:val="483"/>
        </w:trPr>
        <w:tc>
          <w:tcPr>
            <w:tcW w:w="2301" w:type="dxa"/>
          </w:tcPr>
          <w:p w:rsidR="007C1623" w:rsidRPr="007C1623" w:rsidRDefault="007C1623" w:rsidP="00A30A3B">
            <w:proofErr w:type="spellStart"/>
            <w:r w:rsidRPr="007C1623">
              <w:t>Täschhorn</w:t>
            </w:r>
            <w:proofErr w:type="spellEnd"/>
            <w:r w:rsidRPr="007C1623">
              <w:t xml:space="preserve"> </w:t>
            </w:r>
          </w:p>
        </w:tc>
        <w:tc>
          <w:tcPr>
            <w:tcW w:w="2301" w:type="dxa"/>
          </w:tcPr>
          <w:p w:rsidR="007C1623" w:rsidRPr="007C1623" w:rsidRDefault="007C1623" w:rsidP="00A30A3B">
            <w:r w:rsidRPr="007C1623">
              <w:t xml:space="preserve">4 491 </w:t>
            </w:r>
          </w:p>
        </w:tc>
        <w:tc>
          <w:tcPr>
            <w:tcW w:w="2302" w:type="dxa"/>
          </w:tcPr>
          <w:p w:rsidR="007C1623" w:rsidRPr="007C1623" w:rsidRDefault="007C1623" w:rsidP="00A30A3B">
            <w:r w:rsidRPr="007C1623">
              <w:t xml:space="preserve">Švýcarsko </w:t>
            </w:r>
          </w:p>
        </w:tc>
        <w:tc>
          <w:tcPr>
            <w:tcW w:w="2302" w:type="dxa"/>
          </w:tcPr>
          <w:p w:rsidR="007C1623" w:rsidRPr="007C1623" w:rsidRDefault="007C1623" w:rsidP="00A30A3B">
            <w:proofErr w:type="spellStart"/>
            <w:r w:rsidRPr="007C1623">
              <w:t>Walliské</w:t>
            </w:r>
            <w:proofErr w:type="spellEnd"/>
            <w:r w:rsidRPr="007C1623">
              <w:t xml:space="preserve"> Alpy</w:t>
            </w:r>
          </w:p>
        </w:tc>
      </w:tr>
      <w:tr w:rsidR="007C1623" w:rsidRPr="007C1623" w:rsidTr="007C1623">
        <w:trPr>
          <w:trHeight w:val="483"/>
        </w:trPr>
        <w:tc>
          <w:tcPr>
            <w:tcW w:w="2301" w:type="dxa"/>
          </w:tcPr>
          <w:p w:rsidR="007C1623" w:rsidRPr="007C1623" w:rsidRDefault="007C1623" w:rsidP="00A30A3B">
            <w:r w:rsidRPr="007C1623">
              <w:t xml:space="preserve">Matterhorn </w:t>
            </w:r>
          </w:p>
        </w:tc>
        <w:tc>
          <w:tcPr>
            <w:tcW w:w="2301" w:type="dxa"/>
          </w:tcPr>
          <w:p w:rsidR="007C1623" w:rsidRPr="007C1623" w:rsidRDefault="007C1623" w:rsidP="00A30A3B">
            <w:r w:rsidRPr="007C1623">
              <w:t xml:space="preserve">4 478 </w:t>
            </w:r>
          </w:p>
        </w:tc>
        <w:tc>
          <w:tcPr>
            <w:tcW w:w="2302" w:type="dxa"/>
          </w:tcPr>
          <w:p w:rsidR="007C1623" w:rsidRPr="007C1623" w:rsidRDefault="007C1623" w:rsidP="00A30A3B">
            <w:r w:rsidRPr="007C1623">
              <w:t xml:space="preserve">Švýcarsko, Itálie </w:t>
            </w:r>
          </w:p>
        </w:tc>
        <w:tc>
          <w:tcPr>
            <w:tcW w:w="2302" w:type="dxa"/>
          </w:tcPr>
          <w:p w:rsidR="007C1623" w:rsidRPr="007C1623" w:rsidRDefault="007C1623" w:rsidP="00A30A3B">
            <w:proofErr w:type="spellStart"/>
            <w:r w:rsidRPr="007C1623">
              <w:t>Walliské</w:t>
            </w:r>
            <w:proofErr w:type="spellEnd"/>
            <w:r w:rsidRPr="007C1623">
              <w:t xml:space="preserve"> Alpy</w:t>
            </w:r>
          </w:p>
        </w:tc>
      </w:tr>
    </w:tbl>
    <w:p w:rsidR="007C1623" w:rsidRDefault="007C1623" w:rsidP="007C1623"/>
    <w:p w:rsidR="007C1623" w:rsidRPr="00C6638A" w:rsidRDefault="007C1623" w:rsidP="007C1623">
      <w:pPr>
        <w:rPr>
          <w:b/>
          <w:color w:val="FF0000"/>
          <w:sz w:val="28"/>
        </w:rPr>
      </w:pPr>
      <w:r w:rsidRPr="00C6638A">
        <w:rPr>
          <w:b/>
          <w:color w:val="FF0000"/>
          <w:sz w:val="28"/>
        </w:rPr>
        <w:lastRenderedPageBreak/>
        <w:t>Zde bude graf s</w:t>
      </w:r>
      <w:r w:rsidR="00C6638A" w:rsidRPr="00C6638A">
        <w:rPr>
          <w:b/>
          <w:color w:val="FF0000"/>
          <w:sz w:val="28"/>
        </w:rPr>
        <w:t> velikostí jednotlivých vrcholů</w:t>
      </w:r>
      <w:r w:rsidR="00FC3122">
        <w:rPr>
          <w:b/>
          <w:color w:val="FF0000"/>
          <w:sz w:val="32"/>
        </w:rPr>
        <w:t xml:space="preserve">, </w:t>
      </w:r>
      <w:r w:rsidR="00FC3122">
        <w:rPr>
          <w:b/>
          <w:color w:val="FF0000"/>
          <w:sz w:val="32"/>
        </w:rPr>
        <w:t>název grafu, hod</w:t>
      </w:r>
      <w:bookmarkStart w:id="0" w:name="_GoBack"/>
      <w:bookmarkEnd w:id="0"/>
      <w:r w:rsidR="00FC3122">
        <w:rPr>
          <w:b/>
          <w:color w:val="FF0000"/>
          <w:sz w:val="32"/>
        </w:rPr>
        <w:t>noty</w:t>
      </w:r>
    </w:p>
    <w:sectPr w:rsidR="007C1623" w:rsidRPr="00C66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33C2B"/>
    <w:multiLevelType w:val="hybridMultilevel"/>
    <w:tmpl w:val="D6481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3D"/>
    <w:rsid w:val="007C1623"/>
    <w:rsid w:val="009D645E"/>
    <w:rsid w:val="00C6638A"/>
    <w:rsid w:val="00DA173D"/>
    <w:rsid w:val="00FC3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6A16"/>
  <w15:docId w15:val="{5F3BCDEE-B5A3-42CB-993F-839FAEAC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1623"/>
    <w:pPr>
      <w:spacing w:line="360" w:lineRule="auto"/>
      <w:jc w:val="both"/>
    </w:pPr>
    <w:rPr>
      <w:sz w:val="24"/>
    </w:rPr>
  </w:style>
  <w:style w:type="paragraph" w:styleId="Nadpis1">
    <w:name w:val="heading 1"/>
    <w:basedOn w:val="Normln"/>
    <w:next w:val="Normln"/>
    <w:link w:val="Nadpis1Char"/>
    <w:uiPriority w:val="9"/>
    <w:qFormat/>
    <w:rsid w:val="00DA1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A1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A17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173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A173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A173D"/>
    <w:rPr>
      <w:rFonts w:asciiTheme="majorHAnsi" w:eastAsiaTheme="majorEastAsia" w:hAnsiTheme="majorHAnsi" w:cstheme="majorBidi"/>
      <w:b/>
      <w:bCs/>
      <w:color w:val="4F81BD" w:themeColor="accent1"/>
    </w:rPr>
  </w:style>
  <w:style w:type="character" w:customStyle="1" w:styleId="mw-headline">
    <w:name w:val="mw-headline"/>
    <w:basedOn w:val="Standardnpsmoodstavce"/>
    <w:rsid w:val="00DA173D"/>
  </w:style>
  <w:style w:type="character" w:styleId="Hypertextovodkaz">
    <w:name w:val="Hyperlink"/>
    <w:basedOn w:val="Standardnpsmoodstavce"/>
    <w:uiPriority w:val="99"/>
    <w:semiHidden/>
    <w:unhideWhenUsed/>
    <w:rsid w:val="00DA173D"/>
    <w:rPr>
      <w:color w:val="0000FF"/>
      <w:u w:val="single"/>
    </w:rPr>
  </w:style>
  <w:style w:type="paragraph" w:styleId="Normlnweb">
    <w:name w:val="Normal (Web)"/>
    <w:basedOn w:val="Normln"/>
    <w:uiPriority w:val="99"/>
    <w:semiHidden/>
    <w:unhideWhenUsed/>
    <w:rsid w:val="00DA173D"/>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DA17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173D"/>
    <w:rPr>
      <w:rFonts w:ascii="Tahoma" w:hAnsi="Tahoma" w:cs="Tahoma"/>
      <w:sz w:val="16"/>
      <w:szCs w:val="16"/>
    </w:rPr>
  </w:style>
  <w:style w:type="paragraph" w:styleId="Odstavecseseznamem">
    <w:name w:val="List Paragraph"/>
    <w:basedOn w:val="Normln"/>
    <w:uiPriority w:val="34"/>
    <w:qFormat/>
    <w:rsid w:val="00DA173D"/>
    <w:pPr>
      <w:ind w:left="720"/>
      <w:contextualSpacing/>
    </w:pPr>
  </w:style>
  <w:style w:type="table" w:styleId="Mkatabulky">
    <w:name w:val="Table Grid"/>
    <w:basedOn w:val="Normlntabulka"/>
    <w:uiPriority w:val="59"/>
    <w:rsid w:val="007C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5746">
      <w:bodyDiv w:val="1"/>
      <w:marLeft w:val="0"/>
      <w:marRight w:val="0"/>
      <w:marTop w:val="0"/>
      <w:marBottom w:val="0"/>
      <w:divBdr>
        <w:top w:val="none" w:sz="0" w:space="0" w:color="auto"/>
        <w:left w:val="none" w:sz="0" w:space="0" w:color="auto"/>
        <w:bottom w:val="none" w:sz="0" w:space="0" w:color="auto"/>
        <w:right w:val="none" w:sz="0" w:space="0" w:color="auto"/>
      </w:divBdr>
    </w:div>
    <w:div w:id="114637677">
      <w:bodyDiv w:val="1"/>
      <w:marLeft w:val="0"/>
      <w:marRight w:val="0"/>
      <w:marTop w:val="0"/>
      <w:marBottom w:val="0"/>
      <w:divBdr>
        <w:top w:val="none" w:sz="0" w:space="0" w:color="auto"/>
        <w:left w:val="none" w:sz="0" w:space="0" w:color="auto"/>
        <w:bottom w:val="none" w:sz="0" w:space="0" w:color="auto"/>
        <w:right w:val="none" w:sz="0" w:space="0" w:color="auto"/>
      </w:divBdr>
      <w:divsChild>
        <w:div w:id="835919737">
          <w:marLeft w:val="0"/>
          <w:marRight w:val="0"/>
          <w:marTop w:val="0"/>
          <w:marBottom w:val="0"/>
          <w:divBdr>
            <w:top w:val="none" w:sz="0" w:space="0" w:color="auto"/>
            <w:left w:val="none" w:sz="0" w:space="0" w:color="auto"/>
            <w:bottom w:val="none" w:sz="0" w:space="0" w:color="auto"/>
            <w:right w:val="none" w:sz="0" w:space="0" w:color="auto"/>
          </w:divBdr>
          <w:divsChild>
            <w:div w:id="60061936">
              <w:marLeft w:val="0"/>
              <w:marRight w:val="0"/>
              <w:marTop w:val="0"/>
              <w:marBottom w:val="0"/>
              <w:divBdr>
                <w:top w:val="none" w:sz="0" w:space="0" w:color="auto"/>
                <w:left w:val="none" w:sz="0" w:space="0" w:color="auto"/>
                <w:bottom w:val="none" w:sz="0" w:space="0" w:color="auto"/>
                <w:right w:val="none" w:sz="0" w:space="0" w:color="auto"/>
              </w:divBdr>
            </w:div>
          </w:divsChild>
        </w:div>
        <w:div w:id="1130321446">
          <w:marLeft w:val="0"/>
          <w:marRight w:val="0"/>
          <w:marTop w:val="0"/>
          <w:marBottom w:val="0"/>
          <w:divBdr>
            <w:top w:val="none" w:sz="0" w:space="0" w:color="auto"/>
            <w:left w:val="none" w:sz="0" w:space="0" w:color="auto"/>
            <w:bottom w:val="none" w:sz="0" w:space="0" w:color="auto"/>
            <w:right w:val="none" w:sz="0" w:space="0" w:color="auto"/>
          </w:divBdr>
          <w:divsChild>
            <w:div w:id="1696155925">
              <w:marLeft w:val="0"/>
              <w:marRight w:val="0"/>
              <w:marTop w:val="0"/>
              <w:marBottom w:val="0"/>
              <w:divBdr>
                <w:top w:val="none" w:sz="0" w:space="0" w:color="auto"/>
                <w:left w:val="none" w:sz="0" w:space="0" w:color="auto"/>
                <w:bottom w:val="none" w:sz="0" w:space="0" w:color="auto"/>
                <w:right w:val="none" w:sz="0" w:space="0" w:color="auto"/>
              </w:divBdr>
              <w:divsChild>
                <w:div w:id="1819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42414">
      <w:bodyDiv w:val="1"/>
      <w:marLeft w:val="0"/>
      <w:marRight w:val="0"/>
      <w:marTop w:val="0"/>
      <w:marBottom w:val="0"/>
      <w:divBdr>
        <w:top w:val="none" w:sz="0" w:space="0" w:color="auto"/>
        <w:left w:val="none" w:sz="0" w:space="0" w:color="auto"/>
        <w:bottom w:val="none" w:sz="0" w:space="0" w:color="auto"/>
        <w:right w:val="none" w:sz="0" w:space="0" w:color="auto"/>
      </w:divBdr>
      <w:divsChild>
        <w:div w:id="1936817940">
          <w:marLeft w:val="0"/>
          <w:marRight w:val="0"/>
          <w:marTop w:val="0"/>
          <w:marBottom w:val="0"/>
          <w:divBdr>
            <w:top w:val="none" w:sz="0" w:space="0" w:color="auto"/>
            <w:left w:val="none" w:sz="0" w:space="0" w:color="auto"/>
            <w:bottom w:val="none" w:sz="0" w:space="0" w:color="auto"/>
            <w:right w:val="none" w:sz="0" w:space="0" w:color="auto"/>
          </w:divBdr>
          <w:divsChild>
            <w:div w:id="204487070">
              <w:marLeft w:val="0"/>
              <w:marRight w:val="0"/>
              <w:marTop w:val="0"/>
              <w:marBottom w:val="0"/>
              <w:divBdr>
                <w:top w:val="none" w:sz="0" w:space="0" w:color="auto"/>
                <w:left w:val="none" w:sz="0" w:space="0" w:color="auto"/>
                <w:bottom w:val="none" w:sz="0" w:space="0" w:color="auto"/>
                <w:right w:val="none" w:sz="0" w:space="0" w:color="auto"/>
              </w:divBdr>
            </w:div>
          </w:divsChild>
        </w:div>
        <w:div w:id="891816880">
          <w:marLeft w:val="0"/>
          <w:marRight w:val="0"/>
          <w:marTop w:val="0"/>
          <w:marBottom w:val="0"/>
          <w:divBdr>
            <w:top w:val="none" w:sz="0" w:space="0" w:color="auto"/>
            <w:left w:val="none" w:sz="0" w:space="0" w:color="auto"/>
            <w:bottom w:val="none" w:sz="0" w:space="0" w:color="auto"/>
            <w:right w:val="none" w:sz="0" w:space="0" w:color="auto"/>
          </w:divBdr>
          <w:divsChild>
            <w:div w:id="1253203425">
              <w:marLeft w:val="0"/>
              <w:marRight w:val="0"/>
              <w:marTop w:val="0"/>
              <w:marBottom w:val="0"/>
              <w:divBdr>
                <w:top w:val="none" w:sz="0" w:space="0" w:color="auto"/>
                <w:left w:val="none" w:sz="0" w:space="0" w:color="auto"/>
                <w:bottom w:val="none" w:sz="0" w:space="0" w:color="auto"/>
                <w:right w:val="none" w:sz="0" w:space="0" w:color="auto"/>
              </w:divBdr>
              <w:divsChild>
                <w:div w:id="12180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60319">
          <w:marLeft w:val="0"/>
          <w:marRight w:val="0"/>
          <w:marTop w:val="0"/>
          <w:marBottom w:val="0"/>
          <w:divBdr>
            <w:top w:val="none" w:sz="0" w:space="0" w:color="auto"/>
            <w:left w:val="none" w:sz="0" w:space="0" w:color="auto"/>
            <w:bottom w:val="none" w:sz="0" w:space="0" w:color="auto"/>
            <w:right w:val="none" w:sz="0" w:space="0" w:color="auto"/>
          </w:divBdr>
          <w:divsChild>
            <w:div w:id="1509249018">
              <w:marLeft w:val="0"/>
              <w:marRight w:val="0"/>
              <w:marTop w:val="0"/>
              <w:marBottom w:val="0"/>
              <w:divBdr>
                <w:top w:val="none" w:sz="0" w:space="0" w:color="auto"/>
                <w:left w:val="none" w:sz="0" w:space="0" w:color="auto"/>
                <w:bottom w:val="none" w:sz="0" w:space="0" w:color="auto"/>
                <w:right w:val="none" w:sz="0" w:space="0" w:color="auto"/>
              </w:divBdr>
            </w:div>
          </w:divsChild>
        </w:div>
        <w:div w:id="185487012">
          <w:marLeft w:val="0"/>
          <w:marRight w:val="0"/>
          <w:marTop w:val="0"/>
          <w:marBottom w:val="0"/>
          <w:divBdr>
            <w:top w:val="none" w:sz="0" w:space="0" w:color="auto"/>
            <w:left w:val="none" w:sz="0" w:space="0" w:color="auto"/>
            <w:bottom w:val="none" w:sz="0" w:space="0" w:color="auto"/>
            <w:right w:val="none" w:sz="0" w:space="0" w:color="auto"/>
          </w:divBdr>
          <w:divsChild>
            <w:div w:id="1691028428">
              <w:marLeft w:val="0"/>
              <w:marRight w:val="0"/>
              <w:marTop w:val="0"/>
              <w:marBottom w:val="0"/>
              <w:divBdr>
                <w:top w:val="none" w:sz="0" w:space="0" w:color="auto"/>
                <w:left w:val="none" w:sz="0" w:space="0" w:color="auto"/>
                <w:bottom w:val="none" w:sz="0" w:space="0" w:color="auto"/>
                <w:right w:val="none" w:sz="0" w:space="0" w:color="auto"/>
              </w:divBdr>
              <w:divsChild>
                <w:div w:id="2056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7535">
      <w:bodyDiv w:val="1"/>
      <w:marLeft w:val="0"/>
      <w:marRight w:val="0"/>
      <w:marTop w:val="0"/>
      <w:marBottom w:val="0"/>
      <w:divBdr>
        <w:top w:val="none" w:sz="0" w:space="0" w:color="auto"/>
        <w:left w:val="none" w:sz="0" w:space="0" w:color="auto"/>
        <w:bottom w:val="none" w:sz="0" w:space="0" w:color="auto"/>
        <w:right w:val="none" w:sz="0" w:space="0" w:color="auto"/>
      </w:divBdr>
    </w:div>
    <w:div w:id="893151732">
      <w:bodyDiv w:val="1"/>
      <w:marLeft w:val="0"/>
      <w:marRight w:val="0"/>
      <w:marTop w:val="0"/>
      <w:marBottom w:val="0"/>
      <w:divBdr>
        <w:top w:val="none" w:sz="0" w:space="0" w:color="auto"/>
        <w:left w:val="none" w:sz="0" w:space="0" w:color="auto"/>
        <w:bottom w:val="none" w:sz="0" w:space="0" w:color="auto"/>
        <w:right w:val="none" w:sz="0" w:space="0" w:color="auto"/>
      </w:divBdr>
    </w:div>
    <w:div w:id="1063144757">
      <w:bodyDiv w:val="1"/>
      <w:marLeft w:val="0"/>
      <w:marRight w:val="0"/>
      <w:marTop w:val="0"/>
      <w:marBottom w:val="0"/>
      <w:divBdr>
        <w:top w:val="none" w:sz="0" w:space="0" w:color="auto"/>
        <w:left w:val="none" w:sz="0" w:space="0" w:color="auto"/>
        <w:bottom w:val="none" w:sz="0" w:space="0" w:color="auto"/>
        <w:right w:val="none" w:sz="0" w:space="0" w:color="auto"/>
      </w:divBdr>
    </w:div>
    <w:div w:id="1679575265">
      <w:bodyDiv w:val="1"/>
      <w:marLeft w:val="0"/>
      <w:marRight w:val="0"/>
      <w:marTop w:val="0"/>
      <w:marBottom w:val="0"/>
      <w:divBdr>
        <w:top w:val="none" w:sz="0" w:space="0" w:color="auto"/>
        <w:left w:val="none" w:sz="0" w:space="0" w:color="auto"/>
        <w:bottom w:val="none" w:sz="0" w:space="0" w:color="auto"/>
        <w:right w:val="none" w:sz="0" w:space="0" w:color="auto"/>
      </w:divBdr>
    </w:div>
    <w:div w:id="2000503423">
      <w:bodyDiv w:val="1"/>
      <w:marLeft w:val="0"/>
      <w:marRight w:val="0"/>
      <w:marTop w:val="0"/>
      <w:marBottom w:val="0"/>
      <w:divBdr>
        <w:top w:val="none" w:sz="0" w:space="0" w:color="auto"/>
        <w:left w:val="none" w:sz="0" w:space="0" w:color="auto"/>
        <w:bottom w:val="none" w:sz="0" w:space="0" w:color="auto"/>
        <w:right w:val="none" w:sz="0" w:space="0" w:color="auto"/>
      </w:divBdr>
    </w:div>
    <w:div w:id="20734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1124</Words>
  <Characters>6633</Characters>
  <Application>Microsoft Office Word</Application>
  <DocSecurity>0</DocSecurity>
  <Lines>55</Lines>
  <Paragraphs>15</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
      <vt:lpstr>Alpy</vt:lpstr>
      <vt:lpstr>    Geologie</vt:lpstr>
      <vt:lpstr>        Vznik</vt:lpstr>
      <vt:lpstr>        Složení</vt:lpstr>
      <vt:lpstr>    Vodstvo a zalednění</vt:lpstr>
      <vt:lpstr>        Řeky</vt:lpstr>
    </vt:vector>
  </TitlesOfParts>
  <Company>HP</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vacek</dc:creator>
  <cp:lastModifiedBy>Vladimír Vacek</cp:lastModifiedBy>
  <cp:revision>2</cp:revision>
  <dcterms:created xsi:type="dcterms:W3CDTF">2017-02-16T08:59:00Z</dcterms:created>
  <dcterms:modified xsi:type="dcterms:W3CDTF">2017-02-16T08:59:00Z</dcterms:modified>
</cp:coreProperties>
</file>